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CE" w:rsidRPr="00B77068" w:rsidRDefault="00FF18CE" w:rsidP="002A59E6">
      <w:pPr>
        <w:tabs>
          <w:tab w:val="left" w:pos="709"/>
        </w:tabs>
        <w:spacing w:before="0" w:after="0"/>
        <w:ind w:left="357"/>
        <w:rPr>
          <w:b/>
          <w:color w:val="000000" w:themeColor="text1"/>
          <w:szCs w:val="28"/>
        </w:rPr>
      </w:pPr>
      <w:r w:rsidRPr="00B77068">
        <w:rPr>
          <w:b/>
          <w:color w:val="000000" w:themeColor="text1"/>
          <w:szCs w:val="28"/>
        </w:rPr>
        <w:t>DANH MỤC THỦ TỤC HÀNH CHÍNH</w:t>
      </w:r>
    </w:p>
    <w:p w:rsidR="00FF18CE" w:rsidRPr="00B77068" w:rsidRDefault="00FF18CE" w:rsidP="002A59E6">
      <w:pPr>
        <w:tabs>
          <w:tab w:val="left" w:pos="709"/>
        </w:tabs>
        <w:spacing w:before="0" w:after="0"/>
        <w:ind w:left="357"/>
        <w:rPr>
          <w:b/>
          <w:color w:val="000000" w:themeColor="text1"/>
          <w:szCs w:val="28"/>
        </w:rPr>
      </w:pPr>
      <w:r w:rsidRPr="00B77068">
        <w:rPr>
          <w:b/>
          <w:color w:val="000000" w:themeColor="text1"/>
          <w:szCs w:val="28"/>
        </w:rPr>
        <w:t xml:space="preserve">LĨNH VỰC </w:t>
      </w:r>
      <w:r w:rsidR="002A59E6">
        <w:rPr>
          <w:b/>
          <w:color w:val="000000" w:themeColor="text1"/>
          <w:szCs w:val="28"/>
        </w:rPr>
        <w:t>AN TOÀN VỆ SINH LAO ĐỘNG</w:t>
      </w:r>
    </w:p>
    <w:p w:rsidR="00FF18CE" w:rsidRPr="00B77068" w:rsidRDefault="00FF18CE" w:rsidP="002125E2">
      <w:pPr>
        <w:jc w:val="both"/>
        <w:rPr>
          <w:color w:val="000000" w:themeColor="text1"/>
        </w:rPr>
      </w:pP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298"/>
        <w:gridCol w:w="1798"/>
      </w:tblGrid>
      <w:tr w:rsidR="00B77068" w:rsidRPr="00B77068" w:rsidTr="00326633">
        <w:trPr>
          <w:trHeight w:val="671"/>
        </w:trPr>
        <w:tc>
          <w:tcPr>
            <w:tcW w:w="992" w:type="dxa"/>
            <w:vAlign w:val="center"/>
          </w:tcPr>
          <w:p w:rsidR="00FF18CE" w:rsidRPr="00B77068" w:rsidRDefault="00FF18CE" w:rsidP="002A59E6">
            <w:pPr>
              <w:tabs>
                <w:tab w:val="left" w:pos="284"/>
                <w:tab w:val="left" w:pos="567"/>
                <w:tab w:val="left" w:pos="720"/>
                <w:tab w:val="left" w:pos="851"/>
                <w:tab w:val="left" w:pos="1134"/>
                <w:tab w:val="left" w:pos="1418"/>
                <w:tab w:val="left" w:pos="1701"/>
                <w:tab w:val="left" w:pos="1985"/>
                <w:tab w:val="left" w:pos="2268"/>
                <w:tab w:val="left" w:pos="2552"/>
                <w:tab w:val="left" w:pos="2835"/>
              </w:tabs>
              <w:rPr>
                <w:b/>
                <w:color w:val="000000" w:themeColor="text1"/>
                <w:szCs w:val="28"/>
              </w:rPr>
            </w:pPr>
            <w:r w:rsidRPr="00B77068">
              <w:rPr>
                <w:b/>
                <w:color w:val="000000" w:themeColor="text1"/>
                <w:szCs w:val="28"/>
              </w:rPr>
              <w:t>STT</w:t>
            </w:r>
          </w:p>
        </w:tc>
        <w:tc>
          <w:tcPr>
            <w:tcW w:w="6298" w:type="dxa"/>
            <w:vAlign w:val="center"/>
          </w:tcPr>
          <w:p w:rsidR="00FF18CE" w:rsidRPr="00B77068" w:rsidRDefault="00FF18CE" w:rsidP="002A59E6">
            <w:pPr>
              <w:tabs>
                <w:tab w:val="left" w:pos="284"/>
                <w:tab w:val="left" w:pos="567"/>
                <w:tab w:val="left" w:pos="720"/>
                <w:tab w:val="left" w:pos="851"/>
                <w:tab w:val="left" w:pos="1134"/>
                <w:tab w:val="left" w:pos="1418"/>
                <w:tab w:val="left" w:pos="1701"/>
                <w:tab w:val="left" w:pos="1985"/>
                <w:tab w:val="left" w:pos="2268"/>
                <w:tab w:val="left" w:pos="2552"/>
                <w:tab w:val="left" w:pos="2835"/>
              </w:tabs>
              <w:rPr>
                <w:b/>
                <w:color w:val="000000" w:themeColor="text1"/>
                <w:szCs w:val="28"/>
              </w:rPr>
            </w:pPr>
            <w:r w:rsidRPr="00B77068">
              <w:rPr>
                <w:b/>
                <w:color w:val="000000" w:themeColor="text1"/>
                <w:szCs w:val="28"/>
              </w:rPr>
              <w:t>TÊN THỦ TỤC HÀNH CHÍNH</w:t>
            </w:r>
          </w:p>
        </w:tc>
        <w:tc>
          <w:tcPr>
            <w:tcW w:w="1798" w:type="dxa"/>
            <w:vAlign w:val="center"/>
          </w:tcPr>
          <w:p w:rsidR="00FF18CE" w:rsidRPr="00B77068" w:rsidRDefault="00FF18CE" w:rsidP="002A59E6">
            <w:pPr>
              <w:tabs>
                <w:tab w:val="left" w:pos="284"/>
                <w:tab w:val="left" w:pos="567"/>
                <w:tab w:val="left" w:pos="720"/>
                <w:tab w:val="left" w:pos="851"/>
                <w:tab w:val="left" w:pos="1134"/>
                <w:tab w:val="left" w:pos="1418"/>
                <w:tab w:val="left" w:pos="1701"/>
                <w:tab w:val="left" w:pos="1985"/>
                <w:tab w:val="left" w:pos="2268"/>
                <w:tab w:val="left" w:pos="2552"/>
                <w:tab w:val="left" w:pos="2835"/>
              </w:tabs>
              <w:rPr>
                <w:b/>
                <w:color w:val="000000" w:themeColor="text1"/>
                <w:szCs w:val="28"/>
              </w:rPr>
            </w:pPr>
            <w:r w:rsidRPr="00B77068">
              <w:rPr>
                <w:b/>
                <w:color w:val="000000" w:themeColor="text1"/>
                <w:szCs w:val="28"/>
              </w:rPr>
              <w:t>TRANG</w:t>
            </w:r>
          </w:p>
        </w:tc>
      </w:tr>
      <w:tr w:rsidR="00B77068" w:rsidRPr="00B77068" w:rsidTr="00326633">
        <w:trPr>
          <w:trHeight w:val="359"/>
        </w:trPr>
        <w:tc>
          <w:tcPr>
            <w:tcW w:w="992" w:type="dxa"/>
            <w:vAlign w:val="center"/>
          </w:tcPr>
          <w:p w:rsidR="002125E2" w:rsidRPr="00B77068" w:rsidRDefault="002125E2" w:rsidP="002A59E6">
            <w:pPr>
              <w:widowControl w:val="0"/>
              <w:tabs>
                <w:tab w:val="left" w:pos="709"/>
              </w:tabs>
              <w:spacing w:before="30" w:after="30"/>
              <w:rPr>
                <w:color w:val="000000" w:themeColor="text1"/>
                <w:sz w:val="24"/>
                <w:szCs w:val="24"/>
              </w:rPr>
            </w:pPr>
            <w:r w:rsidRPr="00B77068">
              <w:rPr>
                <w:color w:val="000000" w:themeColor="text1"/>
                <w:sz w:val="24"/>
                <w:szCs w:val="24"/>
              </w:rPr>
              <w:t>1</w:t>
            </w:r>
          </w:p>
        </w:tc>
        <w:tc>
          <w:tcPr>
            <w:tcW w:w="6298" w:type="dxa"/>
            <w:vAlign w:val="center"/>
          </w:tcPr>
          <w:p w:rsidR="002125E2" w:rsidRPr="00B77068" w:rsidRDefault="00F966F7" w:rsidP="002A59E6">
            <w:pPr>
              <w:autoSpaceDE w:val="0"/>
              <w:autoSpaceDN w:val="0"/>
              <w:adjustRightInd w:val="0"/>
              <w:spacing w:before="30" w:after="30"/>
              <w:jc w:val="both"/>
              <w:rPr>
                <w:color w:val="000000" w:themeColor="text1"/>
                <w:sz w:val="24"/>
                <w:szCs w:val="24"/>
              </w:rPr>
            </w:pPr>
            <w:r>
              <w:rPr>
                <w:szCs w:val="28"/>
              </w:rPr>
              <w:t xml:space="preserve">Thủ tục </w:t>
            </w:r>
            <w:bookmarkStart w:id="0" w:name="_GoBack"/>
            <w:bookmarkEnd w:id="0"/>
            <w:r w:rsidR="002A59E6" w:rsidRPr="00615876">
              <w:rPr>
                <w:szCs w:val="28"/>
              </w:rPr>
              <w:t>Hỗ trợ chi phí huấn luyện trực tiếp cho người lao động ở khu vực không có hợp đồng lao động.</w:t>
            </w:r>
          </w:p>
        </w:tc>
        <w:tc>
          <w:tcPr>
            <w:tcW w:w="1798" w:type="dxa"/>
            <w:vAlign w:val="center"/>
          </w:tcPr>
          <w:p w:rsidR="002125E2" w:rsidRPr="00B77068" w:rsidRDefault="002A59E6" w:rsidP="00326633">
            <w:pPr>
              <w:tabs>
                <w:tab w:val="left" w:pos="720"/>
              </w:tabs>
              <w:rPr>
                <w:bCs/>
                <w:color w:val="000000" w:themeColor="text1"/>
                <w:szCs w:val="28"/>
              </w:rPr>
            </w:pPr>
            <w:r>
              <w:rPr>
                <w:bCs/>
                <w:color w:val="000000" w:themeColor="text1"/>
                <w:szCs w:val="28"/>
              </w:rPr>
              <w:t xml:space="preserve">Từ trang </w:t>
            </w:r>
            <w:r w:rsidR="00326633">
              <w:rPr>
                <w:bCs/>
                <w:color w:val="000000" w:themeColor="text1"/>
                <w:szCs w:val="28"/>
              </w:rPr>
              <w:t xml:space="preserve">2 </w:t>
            </w:r>
            <w:r w:rsidR="00B70F18">
              <w:rPr>
                <w:bCs/>
                <w:color w:val="000000" w:themeColor="text1"/>
                <w:szCs w:val="28"/>
              </w:rPr>
              <w:t>-</w:t>
            </w:r>
            <w:r w:rsidR="00326633">
              <w:rPr>
                <w:bCs/>
                <w:color w:val="000000" w:themeColor="text1"/>
                <w:szCs w:val="28"/>
              </w:rPr>
              <w:t xml:space="preserve"> 3</w:t>
            </w:r>
          </w:p>
        </w:tc>
      </w:tr>
    </w:tbl>
    <w:p w:rsidR="00FF18CE" w:rsidRDefault="00FF18CE"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Pr="006238B7" w:rsidRDefault="002A59E6" w:rsidP="002A59E6">
      <w:pPr>
        <w:spacing w:line="240" w:lineRule="atLeast"/>
        <w:ind w:firstLine="720"/>
        <w:jc w:val="both"/>
        <w:rPr>
          <w:rFonts w:eastAsia="Times New Roman"/>
          <w:b/>
          <w:szCs w:val="28"/>
          <w:lang w:val="da-DK"/>
        </w:rPr>
      </w:pPr>
      <w:r>
        <w:rPr>
          <w:rFonts w:eastAsia="Times New Roman"/>
          <w:b/>
          <w:szCs w:val="28"/>
          <w:lang w:val="da-DK"/>
        </w:rPr>
        <w:lastRenderedPageBreak/>
        <w:t xml:space="preserve">1. </w:t>
      </w:r>
      <w:r w:rsidRPr="006238B7">
        <w:rPr>
          <w:rFonts w:eastAsia="Times New Roman"/>
          <w:b/>
          <w:szCs w:val="28"/>
          <w:lang w:val="da-DK"/>
        </w:rPr>
        <w:t xml:space="preserve">Thủ tục </w:t>
      </w:r>
      <w:r w:rsidRPr="006238B7">
        <w:rPr>
          <w:b/>
          <w:szCs w:val="28"/>
          <w:lang w:val="da-DK"/>
        </w:rPr>
        <w:t>Hỗ trợ chi phí huấn luyện trực tiếp cho người lao động ở khu vực không có hợp đồng lao động</w:t>
      </w:r>
    </w:p>
    <w:p w:rsidR="002A59E6" w:rsidRPr="006238B7" w:rsidRDefault="002A59E6" w:rsidP="002A59E6">
      <w:pPr>
        <w:spacing w:line="240" w:lineRule="atLeast"/>
        <w:ind w:firstLine="720"/>
        <w:jc w:val="both"/>
        <w:rPr>
          <w:rFonts w:eastAsia="Times New Roman"/>
          <w:b/>
          <w:szCs w:val="28"/>
          <w:lang w:val="da-DK"/>
        </w:rPr>
      </w:pPr>
      <w:r w:rsidRPr="006238B7">
        <w:rPr>
          <w:rFonts w:eastAsia="Times New Roman"/>
          <w:b/>
          <w:szCs w:val="28"/>
          <w:lang w:val="da-DK"/>
        </w:rPr>
        <w:t>a. Trình tự thực hiện thủ tục hành chính:</w:t>
      </w:r>
    </w:p>
    <w:p w:rsidR="002A59E6" w:rsidRPr="006238B7" w:rsidRDefault="002A59E6" w:rsidP="002A59E6">
      <w:pPr>
        <w:spacing w:line="240" w:lineRule="atLeast"/>
        <w:ind w:firstLine="720"/>
        <w:jc w:val="both"/>
        <w:rPr>
          <w:rFonts w:eastAsia="Times New Roman"/>
          <w:szCs w:val="28"/>
          <w:lang w:val="da-DK"/>
        </w:rPr>
      </w:pPr>
      <w:r w:rsidRPr="006238B7">
        <w:rPr>
          <w:rFonts w:eastAsia="Times New Roman"/>
          <w:b/>
          <w:szCs w:val="28"/>
          <w:lang w:val="da-DK"/>
        </w:rPr>
        <w:t>Bước 1:</w:t>
      </w:r>
      <w:r w:rsidRPr="006238B7">
        <w:rPr>
          <w:rFonts w:eastAsia="Times New Roman"/>
          <w:szCs w:val="28"/>
          <w:lang w:val="da-DK"/>
        </w:rPr>
        <w:t xml:space="preserve"> Tổ chức hoặc cá nhân chuẩn bị hồ sơ đầy đủ theo quy định</w:t>
      </w:r>
    </w:p>
    <w:p w:rsidR="002A59E6" w:rsidRPr="006238B7" w:rsidRDefault="002A59E6" w:rsidP="002A59E6">
      <w:pPr>
        <w:spacing w:line="240" w:lineRule="atLeast"/>
        <w:ind w:firstLine="720"/>
        <w:jc w:val="both"/>
        <w:rPr>
          <w:szCs w:val="28"/>
          <w:lang w:val="da-DK"/>
        </w:rPr>
      </w:pPr>
      <w:r w:rsidRPr="006238B7">
        <w:rPr>
          <w:rFonts w:eastAsia="Times New Roman"/>
          <w:b/>
          <w:szCs w:val="28"/>
          <w:lang w:val="da-DK"/>
        </w:rPr>
        <w:t xml:space="preserve">Bước 2: </w:t>
      </w:r>
      <w:r w:rsidRPr="006238B7">
        <w:rPr>
          <w:rFonts w:eastAsia="Times New Roman"/>
          <w:szCs w:val="28"/>
          <w:lang w:val="da-DK"/>
        </w:rPr>
        <w:t xml:space="preserve">Tổ chức hoặc cá nhân nộp hồ sở trực tiếp hoặc qua dịch vụ bưu chính tại Bộ phận một cửa </w:t>
      </w:r>
      <w:r w:rsidRPr="006238B7">
        <w:rPr>
          <w:szCs w:val="28"/>
          <w:lang w:val="da-DK"/>
        </w:rPr>
        <w:t xml:space="preserve">thuộc Văn phòng HĐND và UBND cấp huyện. </w:t>
      </w:r>
    </w:p>
    <w:p w:rsidR="002A59E6" w:rsidRPr="006238B7" w:rsidRDefault="002A59E6" w:rsidP="002A59E6">
      <w:pPr>
        <w:spacing w:line="240" w:lineRule="atLeast"/>
        <w:ind w:firstLine="720"/>
        <w:jc w:val="both"/>
        <w:rPr>
          <w:rFonts w:eastAsia="Times New Roman"/>
          <w:szCs w:val="28"/>
          <w:lang w:val="da-DK"/>
        </w:rPr>
      </w:pPr>
      <w:r w:rsidRPr="006238B7">
        <w:rPr>
          <w:rFonts w:eastAsia="Times New Roman"/>
          <w:b/>
          <w:szCs w:val="28"/>
          <w:lang w:val="da-DK"/>
        </w:rPr>
        <w:t>Bước 3</w:t>
      </w:r>
      <w:r w:rsidRPr="006238B7">
        <w:rPr>
          <w:rFonts w:eastAsia="Times New Roman"/>
          <w:szCs w:val="28"/>
          <w:lang w:val="da-DK"/>
        </w:rPr>
        <w:t>: Bộ phận một cửa kiểm tra tính pháp lý và nội dung của hồ sơ:</w:t>
      </w:r>
    </w:p>
    <w:p w:rsidR="002A59E6" w:rsidRPr="006238B7" w:rsidRDefault="002A59E6" w:rsidP="002A59E6">
      <w:pPr>
        <w:spacing w:line="240" w:lineRule="atLeast"/>
        <w:ind w:firstLine="720"/>
        <w:jc w:val="both"/>
        <w:rPr>
          <w:rFonts w:eastAsia="Times New Roman"/>
          <w:szCs w:val="28"/>
          <w:lang w:val="da-DK"/>
        </w:rPr>
      </w:pPr>
      <w:r w:rsidRPr="006238B7">
        <w:rPr>
          <w:rFonts w:eastAsia="Times New Roman"/>
          <w:szCs w:val="28"/>
          <w:lang w:val="da-DK"/>
        </w:rPr>
        <w:t>- Nếu hồ sơ hợp lệ thì nhận hồ sơ và ra phiếu hẹn ngày trả kết quả</w:t>
      </w:r>
    </w:p>
    <w:p w:rsidR="002A59E6" w:rsidRPr="006238B7" w:rsidRDefault="002A59E6" w:rsidP="002A59E6">
      <w:pPr>
        <w:spacing w:line="240" w:lineRule="atLeast"/>
        <w:ind w:firstLine="720"/>
        <w:jc w:val="both"/>
        <w:rPr>
          <w:rFonts w:eastAsia="Times New Roman"/>
          <w:szCs w:val="28"/>
          <w:lang w:val="da-DK"/>
        </w:rPr>
      </w:pPr>
      <w:r w:rsidRPr="006238B7">
        <w:rPr>
          <w:rFonts w:eastAsia="Times New Roman"/>
          <w:szCs w:val="28"/>
          <w:lang w:val="da-DK"/>
        </w:rPr>
        <w:t>- Trường hợp hồ sơ chưa hợp lệ bộ phận tiếp nhận và trả kết quả hướng dẫn tổ chức, cá nhân bổ sung đầy đủ theo quy định.</w:t>
      </w:r>
    </w:p>
    <w:p w:rsidR="002A59E6" w:rsidRPr="006238B7" w:rsidRDefault="002A59E6" w:rsidP="002A59E6">
      <w:pPr>
        <w:spacing w:line="240" w:lineRule="atLeast"/>
        <w:ind w:firstLine="720"/>
        <w:jc w:val="both"/>
        <w:rPr>
          <w:rFonts w:eastAsia="Times New Roman"/>
          <w:szCs w:val="28"/>
          <w:lang w:val="da-DK"/>
        </w:rPr>
      </w:pPr>
      <w:r w:rsidRPr="006238B7">
        <w:rPr>
          <w:rFonts w:eastAsia="Times New Roman"/>
          <w:b/>
          <w:szCs w:val="28"/>
          <w:lang w:val="da-DK"/>
        </w:rPr>
        <w:t xml:space="preserve">Bước 4: </w:t>
      </w:r>
      <w:r w:rsidRPr="006238B7">
        <w:rPr>
          <w:rFonts w:eastAsia="Times New Roman"/>
          <w:szCs w:val="28"/>
          <w:lang w:val="da-DK"/>
        </w:rPr>
        <w:t xml:space="preserve">Tổ chức cá nhân đến nhận kết quả tại Bộ phận một cửa </w:t>
      </w:r>
      <w:r w:rsidRPr="006238B7">
        <w:rPr>
          <w:szCs w:val="28"/>
          <w:lang w:val="da-DK"/>
        </w:rPr>
        <w:t xml:space="preserve">thuộc Văn phòng HĐND và UBND cấp huyện </w:t>
      </w:r>
      <w:r w:rsidRPr="006238B7">
        <w:rPr>
          <w:rFonts w:eastAsia="Times New Roman"/>
          <w:szCs w:val="28"/>
          <w:lang w:val="da-DK"/>
        </w:rPr>
        <w:t xml:space="preserve">hoặc yêu cầu trả kết quả qua dịch vụ bưu chính. </w:t>
      </w:r>
    </w:p>
    <w:p w:rsidR="002A59E6" w:rsidRPr="006238B7" w:rsidRDefault="002A59E6" w:rsidP="002A59E6">
      <w:pPr>
        <w:spacing w:line="240" w:lineRule="atLeast"/>
        <w:ind w:firstLine="720"/>
        <w:jc w:val="both"/>
        <w:rPr>
          <w:rFonts w:eastAsia="Times New Roman"/>
          <w:b/>
          <w:i/>
          <w:szCs w:val="28"/>
          <w:lang w:val="da-DK"/>
        </w:rPr>
      </w:pPr>
      <w:r w:rsidRPr="006238B7">
        <w:rPr>
          <w:rFonts w:eastAsia="Times New Roman"/>
          <w:b/>
          <w:i/>
          <w:szCs w:val="28"/>
          <w:lang w:val="da-DK"/>
        </w:rPr>
        <w:t xml:space="preserve">* Lưu ý: </w:t>
      </w:r>
    </w:p>
    <w:p w:rsidR="002A59E6" w:rsidRPr="006238B7" w:rsidRDefault="002A59E6" w:rsidP="002A59E6">
      <w:pPr>
        <w:spacing w:line="240" w:lineRule="atLeast"/>
        <w:ind w:firstLine="720"/>
        <w:jc w:val="both"/>
        <w:rPr>
          <w:rFonts w:eastAsia="Times New Roman"/>
          <w:szCs w:val="28"/>
          <w:lang w:val="da-DK"/>
        </w:rPr>
      </w:pPr>
      <w:r w:rsidRPr="006238B7">
        <w:rPr>
          <w:rFonts w:eastAsia="Times New Roman"/>
          <w:szCs w:val="28"/>
          <w:lang w:val="da-DK"/>
        </w:rPr>
        <w:t>- Tổ chức, cá nhân đến nhận kết quả hoặc yêu cầu trả kết quả qua đường bưu điện phải có phiếu hẹn trả kết quả</w:t>
      </w:r>
    </w:p>
    <w:p w:rsidR="002A59E6" w:rsidRPr="006238B7" w:rsidRDefault="002A59E6" w:rsidP="002A59E6">
      <w:pPr>
        <w:spacing w:line="240" w:lineRule="atLeast"/>
        <w:ind w:firstLine="720"/>
        <w:jc w:val="both"/>
        <w:rPr>
          <w:rFonts w:eastAsia="Times New Roman"/>
          <w:i/>
          <w:szCs w:val="28"/>
          <w:lang w:val="da-DK"/>
        </w:rPr>
      </w:pPr>
      <w:r w:rsidRPr="006238B7">
        <w:rPr>
          <w:rFonts w:eastAsia="Times New Roman"/>
          <w:szCs w:val="28"/>
          <w:lang w:val="da-DK"/>
        </w:rPr>
        <w:t xml:space="preserve">- Thời gian tiếp nhận và trả kết quả: Buổi sáng từ 7h đến 11h, buổi chiều từ 13h đến 17h từ thứ hai đến thứ sáu hàng tuần </w:t>
      </w:r>
      <w:r w:rsidRPr="006238B7">
        <w:rPr>
          <w:rFonts w:eastAsia="Times New Roman"/>
          <w:i/>
          <w:szCs w:val="28"/>
          <w:lang w:val="da-DK"/>
        </w:rPr>
        <w:t>(trừ các ngày nghỉ theo quy định)</w:t>
      </w:r>
    </w:p>
    <w:p w:rsidR="002A59E6" w:rsidRPr="006238B7" w:rsidRDefault="002A59E6" w:rsidP="002A59E6">
      <w:pPr>
        <w:spacing w:line="240" w:lineRule="atLeast"/>
        <w:ind w:firstLine="720"/>
        <w:jc w:val="both"/>
        <w:rPr>
          <w:szCs w:val="28"/>
          <w:lang w:val="da-DK"/>
        </w:rPr>
      </w:pPr>
      <w:r w:rsidRPr="006238B7">
        <w:rPr>
          <w:rFonts w:eastAsia="Times New Roman"/>
          <w:b/>
          <w:szCs w:val="28"/>
          <w:lang w:val="vi-VN"/>
        </w:rPr>
        <w:t>b. Cách thức thực hiện thủ tục hành chính:</w:t>
      </w:r>
      <w:r w:rsidRPr="006238B7">
        <w:rPr>
          <w:rFonts w:eastAsia="Times New Roman"/>
          <w:szCs w:val="28"/>
          <w:lang w:val="vi-VN"/>
        </w:rPr>
        <w:t xml:space="preserve"> N</w:t>
      </w:r>
      <w:r w:rsidRPr="006238B7">
        <w:rPr>
          <w:rFonts w:eastAsia="Times New Roman"/>
          <w:szCs w:val="28"/>
          <w:lang w:val="da-DK"/>
        </w:rPr>
        <w:t xml:space="preserve">ộp hồ sơ trực tiếp hoặc qua dịch vụ bưu chính tại Bộ phận một cửa </w:t>
      </w:r>
      <w:r w:rsidRPr="006238B7">
        <w:rPr>
          <w:szCs w:val="28"/>
          <w:lang w:val="da-DK"/>
        </w:rPr>
        <w:t>thuộc Văn phòng HĐND và UBND cấp huyện.</w:t>
      </w:r>
    </w:p>
    <w:p w:rsidR="002A59E6" w:rsidRPr="006238B7" w:rsidRDefault="002A59E6" w:rsidP="002A59E6">
      <w:pPr>
        <w:spacing w:line="240" w:lineRule="atLeast"/>
        <w:ind w:firstLine="720"/>
        <w:jc w:val="both"/>
        <w:rPr>
          <w:rFonts w:eastAsia="Times New Roman"/>
          <w:b/>
          <w:szCs w:val="28"/>
          <w:lang w:val="vi-VN"/>
        </w:rPr>
      </w:pPr>
      <w:r w:rsidRPr="006238B7">
        <w:rPr>
          <w:rFonts w:eastAsia="Times New Roman"/>
          <w:b/>
          <w:szCs w:val="28"/>
          <w:lang w:val="vi-VN"/>
        </w:rPr>
        <w:t>c</w:t>
      </w:r>
      <w:r w:rsidRPr="006238B7">
        <w:rPr>
          <w:rFonts w:eastAsia="Times New Roman"/>
          <w:b/>
          <w:szCs w:val="28"/>
          <w:lang w:val="da-DK"/>
        </w:rPr>
        <w:t>.</w:t>
      </w:r>
      <w:r w:rsidRPr="006238B7">
        <w:rPr>
          <w:rFonts w:eastAsia="Times New Roman"/>
          <w:b/>
          <w:szCs w:val="28"/>
          <w:lang w:val="vi-VN"/>
        </w:rPr>
        <w:t xml:space="preserve"> </w:t>
      </w:r>
      <w:r w:rsidRPr="006238B7">
        <w:rPr>
          <w:rFonts w:eastAsia="Times New Roman"/>
          <w:b/>
          <w:szCs w:val="28"/>
          <w:lang w:val="da-DK"/>
        </w:rPr>
        <w:t>Hồ sơ thực hiện thủ tục hành chính</w:t>
      </w:r>
      <w:r w:rsidRPr="006238B7">
        <w:rPr>
          <w:rFonts w:eastAsia="Times New Roman"/>
          <w:b/>
          <w:szCs w:val="28"/>
          <w:lang w:val="vi-VN"/>
        </w:rPr>
        <w:t>:</w:t>
      </w:r>
    </w:p>
    <w:p w:rsidR="002A59E6" w:rsidRPr="006238B7" w:rsidRDefault="002A59E6" w:rsidP="002A59E6">
      <w:pPr>
        <w:spacing w:line="240" w:lineRule="atLeast"/>
        <w:ind w:firstLine="720"/>
        <w:jc w:val="both"/>
        <w:rPr>
          <w:szCs w:val="28"/>
          <w:lang w:val="vi-VN"/>
        </w:rPr>
      </w:pPr>
      <w:r w:rsidRPr="006238B7">
        <w:rPr>
          <w:szCs w:val="28"/>
          <w:lang w:val="vi-VN"/>
        </w:rPr>
        <w:t xml:space="preserve">- Đơn đề nghị hỗ trợ chi phí huấn luyện của người lao động thuộc đối tượng được hỗ trợ </w:t>
      </w:r>
      <w:r w:rsidRPr="006238B7">
        <w:rPr>
          <w:szCs w:val="28"/>
          <w:lang w:val="da-DK"/>
        </w:rPr>
        <w:t xml:space="preserve">(mẫu 01- Phụ lục II) ban hành kèm theo </w:t>
      </w:r>
      <w:r w:rsidRPr="006238B7">
        <w:rPr>
          <w:szCs w:val="28"/>
          <w:lang w:val="vi-VN"/>
        </w:rPr>
        <w:t>Thông tư số 19/2017/TT-BLĐTBXH ngày 03/7/2017 của Bộ</w:t>
      </w:r>
      <w:r w:rsidRPr="006238B7">
        <w:rPr>
          <w:szCs w:val="28"/>
          <w:lang w:val="da-DK"/>
        </w:rPr>
        <w:t xml:space="preserve"> trưởng Bộ</w:t>
      </w:r>
      <w:r w:rsidRPr="006238B7">
        <w:rPr>
          <w:szCs w:val="28"/>
          <w:lang w:val="vi-VN"/>
        </w:rPr>
        <w:t xml:space="preserve"> Lao động – Thương binh và Xã hội</w:t>
      </w:r>
    </w:p>
    <w:p w:rsidR="002A59E6" w:rsidRPr="006238B7" w:rsidRDefault="002A59E6" w:rsidP="002A59E6">
      <w:pPr>
        <w:tabs>
          <w:tab w:val="left" w:pos="993"/>
        </w:tabs>
        <w:spacing w:line="240" w:lineRule="atLeast"/>
        <w:ind w:firstLine="720"/>
        <w:jc w:val="both"/>
        <w:rPr>
          <w:szCs w:val="28"/>
          <w:lang w:val="vi-VN"/>
        </w:rPr>
      </w:pPr>
      <w:r w:rsidRPr="006238B7">
        <w:rPr>
          <w:szCs w:val="28"/>
          <w:lang w:val="vi-VN"/>
        </w:rPr>
        <w:t xml:space="preserve">-  Bản sao thẻ an toàn đã được cấp </w:t>
      </w:r>
    </w:p>
    <w:p w:rsidR="002A59E6" w:rsidRPr="006238B7" w:rsidRDefault="002A59E6" w:rsidP="002A59E6">
      <w:pPr>
        <w:tabs>
          <w:tab w:val="left" w:pos="993"/>
        </w:tabs>
        <w:spacing w:line="240" w:lineRule="atLeast"/>
        <w:ind w:firstLine="720"/>
        <w:jc w:val="both"/>
        <w:rPr>
          <w:szCs w:val="28"/>
          <w:lang w:val="vi-VN"/>
        </w:rPr>
      </w:pPr>
      <w:r w:rsidRPr="006238B7">
        <w:rPr>
          <w:szCs w:val="28"/>
          <w:lang w:val="vi-VN"/>
        </w:rPr>
        <w:t xml:space="preserve">- Hóa đơn thu tiền của Tổ chức huấn luyện </w:t>
      </w:r>
    </w:p>
    <w:p w:rsidR="002A59E6" w:rsidRPr="006238B7" w:rsidRDefault="002A59E6" w:rsidP="002A59E6">
      <w:pPr>
        <w:spacing w:line="240" w:lineRule="atLeast"/>
        <w:ind w:firstLine="720"/>
        <w:jc w:val="both"/>
        <w:rPr>
          <w:rFonts w:eastAsia="Times New Roman"/>
          <w:b/>
          <w:i/>
          <w:szCs w:val="28"/>
          <w:lang w:val="vi-VN"/>
        </w:rPr>
      </w:pPr>
      <w:r w:rsidRPr="006238B7">
        <w:rPr>
          <w:rFonts w:eastAsia="Times New Roman"/>
          <w:b/>
          <w:i/>
          <w:szCs w:val="28"/>
          <w:lang w:val="vi-VN"/>
        </w:rPr>
        <w:t>* Số lượng hồ sơ: 01 (một) bộ</w:t>
      </w:r>
    </w:p>
    <w:p w:rsidR="002A59E6" w:rsidRPr="006238B7" w:rsidRDefault="002A59E6" w:rsidP="002A59E6">
      <w:pPr>
        <w:spacing w:line="240" w:lineRule="atLeast"/>
        <w:ind w:firstLine="720"/>
        <w:jc w:val="both"/>
        <w:rPr>
          <w:rFonts w:eastAsia="Times New Roman"/>
          <w:szCs w:val="28"/>
          <w:lang w:val="vi-VN"/>
        </w:rPr>
      </w:pPr>
      <w:r w:rsidRPr="006238B7">
        <w:rPr>
          <w:rFonts w:eastAsia="Times New Roman"/>
          <w:b/>
          <w:szCs w:val="28"/>
          <w:lang w:val="vi-VN"/>
        </w:rPr>
        <w:t>d. Thời hạn giải quyết</w:t>
      </w:r>
      <w:r w:rsidRPr="006238B7">
        <w:rPr>
          <w:rFonts w:eastAsia="Times New Roman"/>
          <w:szCs w:val="28"/>
          <w:lang w:val="vi-VN"/>
        </w:rPr>
        <w:t xml:space="preserve">: 07 (bảy) ngày làm việc (kể từ ngày nhận đủ hồ sơ hợp lệ). </w:t>
      </w:r>
    </w:p>
    <w:p w:rsidR="002A59E6" w:rsidRPr="006238B7" w:rsidRDefault="002A59E6" w:rsidP="002A59E6">
      <w:pPr>
        <w:spacing w:line="240" w:lineRule="atLeast"/>
        <w:ind w:firstLine="720"/>
        <w:jc w:val="both"/>
        <w:rPr>
          <w:rFonts w:eastAsia="Times New Roman"/>
          <w:szCs w:val="28"/>
          <w:lang w:val="vi-VN"/>
        </w:rPr>
      </w:pPr>
      <w:r w:rsidRPr="006238B7">
        <w:rPr>
          <w:rFonts w:eastAsia="Times New Roman"/>
          <w:szCs w:val="28"/>
          <w:lang w:val="vi-VN"/>
        </w:rPr>
        <w:t xml:space="preserve">Trường hợp không hỗ trợ chi phí huấn luyện thì phải thông báo bằng văn bản nêu rõ lý do. </w:t>
      </w:r>
    </w:p>
    <w:p w:rsidR="002A59E6" w:rsidRPr="006238B7" w:rsidRDefault="002A59E6" w:rsidP="002A59E6">
      <w:pPr>
        <w:spacing w:line="240" w:lineRule="atLeast"/>
        <w:ind w:firstLine="720"/>
        <w:jc w:val="both"/>
        <w:rPr>
          <w:szCs w:val="28"/>
          <w:lang w:val="vi-VN"/>
        </w:rPr>
      </w:pPr>
      <w:r w:rsidRPr="006238B7">
        <w:rPr>
          <w:rFonts w:eastAsia="Times New Roman"/>
          <w:b/>
          <w:szCs w:val="28"/>
          <w:lang w:val="vi-VN"/>
        </w:rPr>
        <w:t xml:space="preserve">đ. Đối tượng thực hiện thủ tục hành chính: </w:t>
      </w:r>
      <w:r w:rsidRPr="006238B7">
        <w:rPr>
          <w:szCs w:val="28"/>
          <w:lang w:val="vi-VN"/>
        </w:rPr>
        <w:t>Người lao động làm việc không theo hợp đồng lao động khi làm công việc có yêu cầu nghiêm ngặt về an toàn, vệ sinh lao động.</w:t>
      </w:r>
    </w:p>
    <w:p w:rsidR="002A59E6" w:rsidRPr="006238B7" w:rsidRDefault="002A59E6" w:rsidP="002A59E6">
      <w:pPr>
        <w:spacing w:line="240" w:lineRule="atLeast"/>
        <w:ind w:firstLine="720"/>
        <w:jc w:val="both"/>
        <w:rPr>
          <w:rFonts w:eastAsia="Times New Roman"/>
          <w:b/>
          <w:szCs w:val="28"/>
          <w:lang w:val="vi-VN"/>
        </w:rPr>
      </w:pPr>
      <w:r w:rsidRPr="006238B7">
        <w:rPr>
          <w:rFonts w:eastAsia="Times New Roman"/>
          <w:b/>
          <w:szCs w:val="28"/>
          <w:lang w:val="vi-VN"/>
        </w:rPr>
        <w:t>e. Cơ quan giải quyết thủ tục hành chính:</w:t>
      </w:r>
    </w:p>
    <w:p w:rsidR="002A59E6" w:rsidRPr="006238B7" w:rsidRDefault="002A59E6" w:rsidP="002A59E6">
      <w:pPr>
        <w:spacing w:line="240" w:lineRule="atLeast"/>
        <w:ind w:firstLine="720"/>
        <w:jc w:val="both"/>
        <w:rPr>
          <w:rFonts w:eastAsia="Times New Roman"/>
          <w:szCs w:val="28"/>
          <w:lang w:val="vi-VN"/>
        </w:rPr>
      </w:pPr>
      <w:r w:rsidRPr="006238B7">
        <w:rPr>
          <w:rFonts w:eastAsia="Times New Roman"/>
          <w:szCs w:val="28"/>
          <w:lang w:val="vi-VN"/>
        </w:rPr>
        <w:lastRenderedPageBreak/>
        <w:t xml:space="preserve">- Cơ quan có thẩm quyền quyết định: Ủy ban nhân dân cấp huyện </w:t>
      </w:r>
    </w:p>
    <w:p w:rsidR="002A59E6" w:rsidRPr="006238B7" w:rsidRDefault="002A59E6" w:rsidP="002A59E6">
      <w:pPr>
        <w:spacing w:line="240" w:lineRule="atLeast"/>
        <w:ind w:firstLine="720"/>
        <w:jc w:val="both"/>
        <w:rPr>
          <w:szCs w:val="28"/>
          <w:shd w:val="clear" w:color="auto" w:fill="FFFFFF"/>
          <w:lang w:val="vi-VN"/>
        </w:rPr>
      </w:pPr>
      <w:r w:rsidRPr="006238B7">
        <w:rPr>
          <w:rFonts w:eastAsia="Times New Roman"/>
          <w:szCs w:val="28"/>
          <w:lang w:val="vi-VN"/>
        </w:rPr>
        <w:t xml:space="preserve">- Cơ quan trực tiếp thực hiện thủ tục hành chính: </w:t>
      </w:r>
      <w:r w:rsidRPr="006238B7">
        <w:rPr>
          <w:rFonts w:eastAsia="Times New Roman"/>
          <w:szCs w:val="28"/>
        </w:rPr>
        <w:t xml:space="preserve">Phòng </w:t>
      </w:r>
      <w:r w:rsidRPr="006238B7">
        <w:rPr>
          <w:rFonts w:eastAsia="Times New Roman"/>
          <w:szCs w:val="28"/>
          <w:lang w:val="vi-VN"/>
        </w:rPr>
        <w:t xml:space="preserve">Lao động </w:t>
      </w:r>
      <w:r w:rsidRPr="006238B7">
        <w:rPr>
          <w:rFonts w:eastAsia="Times New Roman"/>
          <w:szCs w:val="28"/>
        </w:rPr>
        <w:t>-</w:t>
      </w:r>
      <w:r w:rsidRPr="006238B7">
        <w:rPr>
          <w:rFonts w:eastAsia="Times New Roman"/>
          <w:szCs w:val="28"/>
          <w:lang w:val="vi-VN"/>
        </w:rPr>
        <w:t xml:space="preserve"> Thương binh và Xã hội cấp huyện</w:t>
      </w:r>
    </w:p>
    <w:p w:rsidR="002A59E6" w:rsidRPr="006238B7" w:rsidRDefault="002A59E6" w:rsidP="002A59E6">
      <w:pPr>
        <w:spacing w:line="240" w:lineRule="atLeast"/>
        <w:ind w:firstLine="720"/>
        <w:jc w:val="both"/>
        <w:rPr>
          <w:szCs w:val="28"/>
          <w:lang w:val="vi-VN"/>
        </w:rPr>
      </w:pPr>
      <w:r w:rsidRPr="006238B7">
        <w:rPr>
          <w:rFonts w:eastAsia="Times New Roman"/>
          <w:b/>
          <w:szCs w:val="28"/>
          <w:lang w:val="vi-VN"/>
        </w:rPr>
        <w:t xml:space="preserve">g. Kết quả thực hiện thủ tục hành chính: </w:t>
      </w:r>
      <w:r w:rsidRPr="006238B7">
        <w:rPr>
          <w:szCs w:val="28"/>
          <w:lang w:val="vi-VN"/>
        </w:rPr>
        <w:t>Quyết định hỗ trợ chi phí huấn luyện.</w:t>
      </w:r>
    </w:p>
    <w:p w:rsidR="002A59E6" w:rsidRPr="006238B7" w:rsidRDefault="002A59E6" w:rsidP="002A59E6">
      <w:pPr>
        <w:spacing w:line="240" w:lineRule="atLeast"/>
        <w:ind w:firstLine="720"/>
        <w:jc w:val="both"/>
        <w:rPr>
          <w:rFonts w:eastAsia="Times New Roman"/>
          <w:szCs w:val="28"/>
          <w:lang w:val="vi-VN"/>
        </w:rPr>
      </w:pPr>
      <w:r w:rsidRPr="006238B7">
        <w:rPr>
          <w:rFonts w:eastAsia="Times New Roman"/>
          <w:b/>
          <w:szCs w:val="28"/>
          <w:lang w:val="vi-VN"/>
        </w:rPr>
        <w:t>h. Lệ phí, phí thực hiện thủ tục hành chính</w:t>
      </w:r>
      <w:r w:rsidRPr="006238B7">
        <w:rPr>
          <w:rFonts w:eastAsia="Times New Roman"/>
          <w:szCs w:val="28"/>
          <w:lang w:val="vi-VN"/>
        </w:rPr>
        <w:t>: Không.</w:t>
      </w:r>
    </w:p>
    <w:p w:rsidR="002A59E6" w:rsidRPr="006238B7" w:rsidRDefault="002A59E6" w:rsidP="002A59E6">
      <w:pPr>
        <w:spacing w:line="240" w:lineRule="atLeast"/>
        <w:ind w:firstLine="720"/>
        <w:jc w:val="both"/>
        <w:rPr>
          <w:rFonts w:eastAsia="Times New Roman"/>
          <w:szCs w:val="28"/>
          <w:lang w:val="vi-VN"/>
        </w:rPr>
      </w:pPr>
      <w:r w:rsidRPr="006238B7">
        <w:rPr>
          <w:rFonts w:eastAsia="Times New Roman"/>
          <w:b/>
          <w:szCs w:val="28"/>
          <w:lang w:val="vi-VN"/>
        </w:rPr>
        <w:t>i. Tên mẫu đơn, mẫu tờ khai thực hiện thủ tục hành chính</w:t>
      </w:r>
      <w:r w:rsidRPr="006238B7">
        <w:rPr>
          <w:rFonts w:eastAsia="Times New Roman"/>
          <w:szCs w:val="28"/>
          <w:lang w:val="vi-VN"/>
        </w:rPr>
        <w:t>:</w:t>
      </w:r>
    </w:p>
    <w:p w:rsidR="002A59E6" w:rsidRPr="006238B7" w:rsidRDefault="002A59E6" w:rsidP="002A59E6">
      <w:pPr>
        <w:spacing w:line="240" w:lineRule="atLeast"/>
        <w:ind w:firstLine="720"/>
        <w:jc w:val="both"/>
        <w:rPr>
          <w:szCs w:val="28"/>
          <w:lang w:val="da-DK"/>
        </w:rPr>
      </w:pPr>
      <w:r w:rsidRPr="006238B7">
        <w:rPr>
          <w:szCs w:val="28"/>
          <w:lang w:val="vi-VN"/>
        </w:rPr>
        <w:t xml:space="preserve">Đơn đề nghị hỗ trợ chi phí huấn luyện của người lao động thuộc đối tượng được hỗ trợ </w:t>
      </w:r>
      <w:r w:rsidRPr="006238B7">
        <w:rPr>
          <w:szCs w:val="28"/>
          <w:lang w:val="da-DK"/>
        </w:rPr>
        <w:t xml:space="preserve">(mẫu 01- Phụ lục II) </w:t>
      </w:r>
    </w:p>
    <w:p w:rsidR="002A59E6" w:rsidRPr="006238B7" w:rsidRDefault="002A59E6" w:rsidP="002A59E6">
      <w:pPr>
        <w:spacing w:line="240" w:lineRule="atLeast"/>
        <w:ind w:firstLine="720"/>
        <w:jc w:val="both"/>
        <w:rPr>
          <w:rFonts w:eastAsia="Times New Roman"/>
          <w:b/>
          <w:szCs w:val="28"/>
          <w:lang w:val="vi-VN"/>
        </w:rPr>
      </w:pPr>
      <w:r w:rsidRPr="006238B7">
        <w:rPr>
          <w:rFonts w:eastAsia="Times New Roman"/>
          <w:b/>
          <w:szCs w:val="28"/>
          <w:lang w:val="vi-VN"/>
        </w:rPr>
        <w:t>k) Yêu cầu, điều kiện thực hiện thủ tục hành chính:</w:t>
      </w:r>
    </w:p>
    <w:p w:rsidR="002A59E6" w:rsidRPr="006238B7" w:rsidRDefault="002A59E6" w:rsidP="002A59E6">
      <w:pPr>
        <w:spacing w:line="240" w:lineRule="atLeast"/>
        <w:ind w:firstLine="720"/>
        <w:jc w:val="both"/>
        <w:rPr>
          <w:rFonts w:eastAsia="Times New Roman"/>
          <w:szCs w:val="28"/>
          <w:lang w:val="da-DK"/>
        </w:rPr>
      </w:pPr>
      <w:r w:rsidRPr="006238B7">
        <w:rPr>
          <w:rFonts w:eastAsia="Times New Roman"/>
          <w:szCs w:val="28"/>
          <w:lang w:val="da-DK"/>
        </w:rPr>
        <w:t>Đối tượng được ưu tiên hỗ trợ chi phí huấn luyện an toàn, vệ sinh lao động là người lao động thuộc hộ nghèo, hộ cận nghèo, hộ mới thoát nghèo, hộ đồng bào dân tộc thiểu số, người có công với cách mạng và thân nhân chủ yếu của người có công với cách mạng làm việc không theo hợp đồng lao động khi làm công việc có yêu cầu nghiêm ngặt về an toàn, vệ sinh lao động.</w:t>
      </w:r>
    </w:p>
    <w:p w:rsidR="002A59E6" w:rsidRPr="006238B7" w:rsidRDefault="002A59E6" w:rsidP="002A59E6">
      <w:pPr>
        <w:spacing w:line="240" w:lineRule="atLeast"/>
        <w:ind w:firstLine="720"/>
        <w:jc w:val="both"/>
        <w:rPr>
          <w:rFonts w:eastAsia="Times New Roman"/>
          <w:b/>
          <w:szCs w:val="28"/>
          <w:lang w:val="vi-VN"/>
        </w:rPr>
      </w:pPr>
      <w:r w:rsidRPr="006238B7">
        <w:rPr>
          <w:rFonts w:eastAsia="Times New Roman"/>
          <w:b/>
          <w:szCs w:val="28"/>
          <w:lang w:val="vi-VN"/>
        </w:rPr>
        <w:t>l. Căn cứ pháp lý thực hiện thủ tục hành chính:</w:t>
      </w:r>
    </w:p>
    <w:p w:rsidR="002A59E6" w:rsidRPr="002A59E6" w:rsidRDefault="002A59E6" w:rsidP="002A59E6">
      <w:pPr>
        <w:spacing w:before="0" w:after="0"/>
        <w:ind w:firstLine="720"/>
        <w:jc w:val="both"/>
        <w:rPr>
          <w:szCs w:val="28"/>
          <w:lang w:val="vi-VN"/>
        </w:rPr>
      </w:pPr>
      <w:r w:rsidRPr="002A59E6">
        <w:rPr>
          <w:szCs w:val="28"/>
          <w:lang w:val="vi-VN"/>
        </w:rPr>
        <w:t>- Luật An toàn, vệ sinh lao động ngày 25</w:t>
      </w:r>
      <w:r w:rsidRPr="002A59E6">
        <w:rPr>
          <w:szCs w:val="28"/>
        </w:rPr>
        <w:t>/</w:t>
      </w:r>
      <w:r w:rsidRPr="002A59E6">
        <w:rPr>
          <w:szCs w:val="28"/>
          <w:lang w:val="vi-VN"/>
        </w:rPr>
        <w:t>6</w:t>
      </w:r>
      <w:r w:rsidRPr="002A59E6">
        <w:rPr>
          <w:szCs w:val="28"/>
        </w:rPr>
        <w:t>/</w:t>
      </w:r>
      <w:r w:rsidRPr="002A59E6">
        <w:rPr>
          <w:szCs w:val="28"/>
          <w:lang w:val="vi-VN"/>
        </w:rPr>
        <w:t>2015;</w:t>
      </w:r>
    </w:p>
    <w:p w:rsidR="002A59E6" w:rsidRPr="002A59E6" w:rsidRDefault="002A59E6" w:rsidP="002A59E6">
      <w:pPr>
        <w:spacing w:before="0" w:after="0"/>
        <w:ind w:firstLine="720"/>
        <w:jc w:val="both"/>
        <w:rPr>
          <w:szCs w:val="28"/>
          <w:lang w:val="vi-VN"/>
        </w:rPr>
      </w:pPr>
      <w:r w:rsidRPr="002A59E6">
        <w:rPr>
          <w:szCs w:val="28"/>
          <w:lang w:val="vi-VN"/>
        </w:rPr>
        <w:t>- Nghị định số 44/2016/NĐ-CP ngày 15</w:t>
      </w:r>
      <w:r w:rsidRPr="002A59E6">
        <w:rPr>
          <w:szCs w:val="28"/>
        </w:rPr>
        <w:t>/</w:t>
      </w:r>
      <w:r w:rsidRPr="002A59E6">
        <w:rPr>
          <w:szCs w:val="28"/>
          <w:lang w:val="vi-VN"/>
        </w:rPr>
        <w:t>5</w:t>
      </w:r>
      <w:r w:rsidRPr="002A59E6">
        <w:rPr>
          <w:szCs w:val="28"/>
        </w:rPr>
        <w:t>/</w:t>
      </w:r>
      <w:r w:rsidRPr="002A59E6">
        <w:rPr>
          <w:szCs w:val="28"/>
          <w:lang w:val="vi-VN"/>
        </w:rPr>
        <w:t>2016 của Chính phủ quy định chi tiết một số điều của Luật an toàn, vệ sinh lao động về hoạt động huấn luyện an toàn vệ sinh lao động, huấn luyện an toàn, vệ sinh lao động và quan trắc môi trường lao động.</w:t>
      </w:r>
    </w:p>
    <w:p w:rsidR="002A59E6" w:rsidRPr="002A59E6" w:rsidRDefault="002A59E6" w:rsidP="002A59E6">
      <w:pPr>
        <w:ind w:firstLine="720"/>
        <w:jc w:val="both"/>
        <w:rPr>
          <w:color w:val="000000" w:themeColor="text1"/>
          <w:szCs w:val="28"/>
        </w:rPr>
      </w:pPr>
      <w:r w:rsidRPr="002A59E6">
        <w:rPr>
          <w:szCs w:val="28"/>
          <w:lang w:val="vi-VN"/>
        </w:rPr>
        <w:t xml:space="preserve">- Thông tư số 19/2017/TT-BLĐTBXH ngày 03/7/2017 của Bộ Lao động </w:t>
      </w:r>
      <w:r w:rsidRPr="002A59E6">
        <w:rPr>
          <w:szCs w:val="28"/>
        </w:rPr>
        <w:t>-</w:t>
      </w:r>
      <w:r w:rsidRPr="002A59E6">
        <w:rPr>
          <w:szCs w:val="28"/>
          <w:lang w:val="vi-VN"/>
        </w:rPr>
        <w:t xml:space="preserve"> Thương binh và Xã hội</w:t>
      </w:r>
      <w:r w:rsidRPr="002A59E6">
        <w:rPr>
          <w:szCs w:val="28"/>
        </w:rPr>
        <w:t xml:space="preserve"> </w:t>
      </w:r>
      <w:bookmarkStart w:id="1" w:name="loai_1_name"/>
      <w:r w:rsidRPr="002A59E6">
        <w:rPr>
          <w:color w:val="000000"/>
          <w:szCs w:val="28"/>
          <w:shd w:val="clear" w:color="auto" w:fill="FFFFFF"/>
          <w:lang w:val="vi-VN"/>
        </w:rPr>
        <w:t>quy định chi tiết và hướng dẫn thực hiện hoạt động huấn luyện an toàn, vệ sinh lao động</w:t>
      </w:r>
      <w:bookmarkEnd w:id="1"/>
      <w:r w:rsidRPr="002A59E6">
        <w:rPr>
          <w:color w:val="000000"/>
          <w:szCs w:val="28"/>
          <w:shd w:val="clear" w:color="auto" w:fill="FFFFFF"/>
        </w:rPr>
        <w:t>.</w:t>
      </w:r>
    </w:p>
    <w:p w:rsidR="002A59E6" w:rsidRPr="002A59E6" w:rsidRDefault="002A59E6" w:rsidP="002A59E6">
      <w:pPr>
        <w:ind w:firstLine="720"/>
        <w:jc w:val="both"/>
        <w:rPr>
          <w:color w:val="000000" w:themeColor="text1"/>
          <w:szCs w:val="28"/>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Default="002A59E6" w:rsidP="002125E2">
      <w:pPr>
        <w:jc w:val="both"/>
        <w:rPr>
          <w:color w:val="000000" w:themeColor="text1"/>
        </w:rPr>
      </w:pPr>
    </w:p>
    <w:p w:rsidR="002A59E6" w:rsidRPr="00B77068" w:rsidRDefault="002A59E6" w:rsidP="002125E2">
      <w:pPr>
        <w:jc w:val="both"/>
        <w:rPr>
          <w:color w:val="000000" w:themeColor="text1"/>
        </w:rPr>
      </w:pPr>
    </w:p>
    <w:sectPr w:rsidR="002A59E6" w:rsidRPr="00B77068" w:rsidSect="00080E4D">
      <w:footerReference w:type="default" r:id="rId8"/>
      <w:pgSz w:w="11907" w:h="16840" w:code="9"/>
      <w:pgMar w:top="1134" w:right="1134" w:bottom="990" w:left="1701" w:header="720"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44" w:rsidRDefault="00002044" w:rsidP="00080E4D">
      <w:pPr>
        <w:spacing w:before="0" w:after="0"/>
      </w:pPr>
      <w:r>
        <w:separator/>
      </w:r>
    </w:p>
  </w:endnote>
  <w:endnote w:type="continuationSeparator" w:id="0">
    <w:p w:rsidR="00002044" w:rsidRDefault="00002044" w:rsidP="00080E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54651"/>
      <w:docPartObj>
        <w:docPartGallery w:val="Page Numbers (Bottom of Page)"/>
        <w:docPartUnique/>
      </w:docPartObj>
    </w:sdtPr>
    <w:sdtEndPr>
      <w:rPr>
        <w:noProof/>
      </w:rPr>
    </w:sdtEndPr>
    <w:sdtContent>
      <w:p w:rsidR="00080E4D" w:rsidRDefault="00080E4D">
        <w:pPr>
          <w:pStyle w:val="Footer"/>
          <w:jc w:val="right"/>
        </w:pPr>
        <w:r>
          <w:fldChar w:fldCharType="begin"/>
        </w:r>
        <w:r>
          <w:instrText xml:space="preserve"> PAGE   \* MERGEFORMAT </w:instrText>
        </w:r>
        <w:r>
          <w:fldChar w:fldCharType="separate"/>
        </w:r>
        <w:r w:rsidR="00F966F7">
          <w:rPr>
            <w:noProof/>
          </w:rPr>
          <w:t>1</w:t>
        </w:r>
        <w:r>
          <w:rPr>
            <w:noProof/>
          </w:rPr>
          <w:fldChar w:fldCharType="end"/>
        </w:r>
      </w:p>
    </w:sdtContent>
  </w:sdt>
  <w:p w:rsidR="00080E4D" w:rsidRDefault="00080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44" w:rsidRDefault="00002044" w:rsidP="00080E4D">
      <w:pPr>
        <w:spacing w:before="0" w:after="0"/>
      </w:pPr>
      <w:r>
        <w:separator/>
      </w:r>
    </w:p>
  </w:footnote>
  <w:footnote w:type="continuationSeparator" w:id="0">
    <w:p w:rsidR="00002044" w:rsidRDefault="00002044" w:rsidP="00080E4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CE"/>
    <w:rsid w:val="00002044"/>
    <w:rsid w:val="00074DB6"/>
    <w:rsid w:val="00080E4D"/>
    <w:rsid w:val="002125E2"/>
    <w:rsid w:val="002A59E6"/>
    <w:rsid w:val="002D64FC"/>
    <w:rsid w:val="003175EB"/>
    <w:rsid w:val="00326633"/>
    <w:rsid w:val="00850712"/>
    <w:rsid w:val="00893DB1"/>
    <w:rsid w:val="00AC7BAF"/>
    <w:rsid w:val="00B70F18"/>
    <w:rsid w:val="00B77068"/>
    <w:rsid w:val="00EA71CB"/>
    <w:rsid w:val="00F779E0"/>
    <w:rsid w:val="00F966F7"/>
    <w:rsid w:val="00FC7BC8"/>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4">
    <w:name w:val="heading 4"/>
    <w:aliases w:val="CHUONG"/>
    <w:basedOn w:val="Normal"/>
    <w:next w:val="Normal"/>
    <w:link w:val="Heading4Char"/>
    <w:uiPriority w:val="9"/>
    <w:unhideWhenUsed/>
    <w:qFormat/>
    <w:rsid w:val="00FF18CE"/>
    <w:pPr>
      <w:keepNext/>
      <w:keepLines/>
      <w:spacing w:before="40" w:after="0" w:line="259" w:lineRule="auto"/>
      <w:jc w:val="left"/>
      <w:outlineLvl w:val="3"/>
    </w:pPr>
    <w:rPr>
      <w:rFonts w:eastAsiaTheme="majorEastAsia" w:cstheme="majorBidi"/>
      <w:iCs/>
      <w:color w:val="FF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uiPriority w:val="9"/>
    <w:rsid w:val="00FF18CE"/>
    <w:rPr>
      <w:rFonts w:eastAsiaTheme="majorEastAsia" w:cstheme="majorBidi"/>
      <w:iCs/>
      <w:color w:val="FF0000"/>
      <w:lang w:val="vi-VN"/>
    </w:rPr>
  </w:style>
  <w:style w:type="paragraph" w:styleId="ListParagraph">
    <w:name w:val="List Paragraph"/>
    <w:basedOn w:val="Normal"/>
    <w:uiPriority w:val="99"/>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 w:type="paragraph" w:styleId="Header">
    <w:name w:val="header"/>
    <w:basedOn w:val="Normal"/>
    <w:link w:val="HeaderChar"/>
    <w:uiPriority w:val="99"/>
    <w:unhideWhenUsed/>
    <w:rsid w:val="00080E4D"/>
    <w:pPr>
      <w:tabs>
        <w:tab w:val="center" w:pos="4680"/>
        <w:tab w:val="right" w:pos="9360"/>
      </w:tabs>
      <w:spacing w:before="0" w:after="0"/>
    </w:pPr>
  </w:style>
  <w:style w:type="character" w:customStyle="1" w:styleId="HeaderChar">
    <w:name w:val="Header Char"/>
    <w:basedOn w:val="DefaultParagraphFont"/>
    <w:link w:val="Header"/>
    <w:uiPriority w:val="99"/>
    <w:rsid w:val="00080E4D"/>
    <w:rPr>
      <w:rFonts w:eastAsia="Calibri" w:cs="Times New Roman"/>
    </w:rPr>
  </w:style>
  <w:style w:type="paragraph" w:styleId="Footer">
    <w:name w:val="footer"/>
    <w:basedOn w:val="Normal"/>
    <w:link w:val="FooterChar"/>
    <w:uiPriority w:val="99"/>
    <w:unhideWhenUsed/>
    <w:rsid w:val="00080E4D"/>
    <w:pPr>
      <w:tabs>
        <w:tab w:val="center" w:pos="4680"/>
        <w:tab w:val="right" w:pos="9360"/>
      </w:tabs>
      <w:spacing w:before="0" w:after="0"/>
    </w:pPr>
  </w:style>
  <w:style w:type="character" w:customStyle="1" w:styleId="FooterChar">
    <w:name w:val="Footer Char"/>
    <w:basedOn w:val="DefaultParagraphFont"/>
    <w:link w:val="Footer"/>
    <w:uiPriority w:val="99"/>
    <w:rsid w:val="00080E4D"/>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4">
    <w:name w:val="heading 4"/>
    <w:aliases w:val="CHUONG"/>
    <w:basedOn w:val="Normal"/>
    <w:next w:val="Normal"/>
    <w:link w:val="Heading4Char"/>
    <w:uiPriority w:val="9"/>
    <w:unhideWhenUsed/>
    <w:qFormat/>
    <w:rsid w:val="00FF18CE"/>
    <w:pPr>
      <w:keepNext/>
      <w:keepLines/>
      <w:spacing w:before="40" w:after="0" w:line="259" w:lineRule="auto"/>
      <w:jc w:val="left"/>
      <w:outlineLvl w:val="3"/>
    </w:pPr>
    <w:rPr>
      <w:rFonts w:eastAsiaTheme="majorEastAsia" w:cstheme="majorBidi"/>
      <w:iCs/>
      <w:color w:val="FF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uiPriority w:val="9"/>
    <w:rsid w:val="00FF18CE"/>
    <w:rPr>
      <w:rFonts w:eastAsiaTheme="majorEastAsia" w:cstheme="majorBidi"/>
      <w:iCs/>
      <w:color w:val="FF0000"/>
      <w:lang w:val="vi-VN"/>
    </w:rPr>
  </w:style>
  <w:style w:type="paragraph" w:styleId="ListParagraph">
    <w:name w:val="List Paragraph"/>
    <w:basedOn w:val="Normal"/>
    <w:uiPriority w:val="99"/>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 w:type="paragraph" w:styleId="Header">
    <w:name w:val="header"/>
    <w:basedOn w:val="Normal"/>
    <w:link w:val="HeaderChar"/>
    <w:uiPriority w:val="99"/>
    <w:unhideWhenUsed/>
    <w:rsid w:val="00080E4D"/>
    <w:pPr>
      <w:tabs>
        <w:tab w:val="center" w:pos="4680"/>
        <w:tab w:val="right" w:pos="9360"/>
      </w:tabs>
      <w:spacing w:before="0" w:after="0"/>
    </w:pPr>
  </w:style>
  <w:style w:type="character" w:customStyle="1" w:styleId="HeaderChar">
    <w:name w:val="Header Char"/>
    <w:basedOn w:val="DefaultParagraphFont"/>
    <w:link w:val="Header"/>
    <w:uiPriority w:val="99"/>
    <w:rsid w:val="00080E4D"/>
    <w:rPr>
      <w:rFonts w:eastAsia="Calibri" w:cs="Times New Roman"/>
    </w:rPr>
  </w:style>
  <w:style w:type="paragraph" w:styleId="Footer">
    <w:name w:val="footer"/>
    <w:basedOn w:val="Normal"/>
    <w:link w:val="FooterChar"/>
    <w:uiPriority w:val="99"/>
    <w:unhideWhenUsed/>
    <w:rsid w:val="00080E4D"/>
    <w:pPr>
      <w:tabs>
        <w:tab w:val="center" w:pos="4680"/>
        <w:tab w:val="right" w:pos="9360"/>
      </w:tabs>
      <w:spacing w:before="0" w:after="0"/>
    </w:pPr>
  </w:style>
  <w:style w:type="character" w:customStyle="1" w:styleId="FooterChar">
    <w:name w:val="Footer Char"/>
    <w:basedOn w:val="DefaultParagraphFont"/>
    <w:link w:val="Footer"/>
    <w:uiPriority w:val="99"/>
    <w:rsid w:val="00080E4D"/>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3E96-CF7E-4FEC-95A3-21BB4035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6</cp:revision>
  <dcterms:created xsi:type="dcterms:W3CDTF">2020-06-14T14:00:00Z</dcterms:created>
  <dcterms:modified xsi:type="dcterms:W3CDTF">2020-06-15T03:09:00Z</dcterms:modified>
</cp:coreProperties>
</file>